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奇台县水利行业安全生产举报奖励公告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根据《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自治区安全生产举报奖励办法》和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自治区水利厅《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关于印发&lt;自治区水利安全生产举报宣传实施方案&gt;的通知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》（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新水办〔2024〕217号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相关规定和文件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要求，任何单位、组织和个人均有权举报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水利行业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安全生产领域重大事故隐患和安全生产违法违规行为,举报事项经核查属实的,按下列规定对举报人给予现金奖励: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举报重大事故隐患、安全生产违法行为的,奖励金额按照行政处罚金额的15%计算,最低奖励3000元,最高不超过30万元。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生产经营单位从业人员(包括其配偶、父母、子女)举报其所在单位的重大事故隐患和安全生产违法行为。经核查属实的,奖励金额上浮20%,最高不超过3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0万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举报瞒报谎报事故的，按照最终确认的事故等级和查实举报的瞒报谎报死亡人数给予奖励。其中：一般事故按每查实瞒报谎报1人奖励3万元计算；较大事故按每查实瞒报谎报1人奖励4万元计算;重大事故按每查实瞒报谎报1人奖励5万元计算；特别重大事故按每查实瞒报谎报1人奖励6万元计算。最高奖励不超过30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举报人举报的事项应当客观真实,并对其举报内容的真实性负责，不得捏造、歪曲事实，不得诬告、陷害他人和单位；否则，一经查实，将纳入个人征信系统，情节严重的依法追究法律责任。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接报单位会严格遵守保密纪律,依法保护举报人的合法权益，未经举报人同意，不会以任何方式透露举报人身份信息。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接报单位：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  <w:t>奇台县水利局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举报电话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0994-7216821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举报传真：0994-7241568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现场举报地址及来信举报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地址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奇台县东关街212号水利局202办公室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2284095</wp:posOffset>
            </wp:positionH>
            <wp:positionV relativeFrom="paragraph">
              <wp:posOffset>478155</wp:posOffset>
            </wp:positionV>
            <wp:extent cx="1464310" cy="1568450"/>
            <wp:effectExtent l="0" t="0" r="2540" b="3175"/>
            <wp:wrapTopAndBottom/>
            <wp:docPr id="3" name="图片 3" descr="0d0e827470a9fffcda3866721d68f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d0e827470a9fffcda3866721d68f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应急管理部安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全生产举报微信小程序二维码：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tabs>
          <w:tab w:val="left" w:pos="7419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845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280C4A25"/>
    <w:rsid w:val="1D383A92"/>
    <w:rsid w:val="280C4A25"/>
    <w:rsid w:val="319D2D9D"/>
    <w:rsid w:val="4EB4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qFormat/>
    <w:uiPriority w:val="0"/>
    <w:pPr>
      <w:spacing w:after="120" w:line="480" w:lineRule="auto"/>
      <w:ind w:left="420" w:leftChars="200"/>
    </w:pPr>
    <w:rPr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2024-07-12T11:43:00Z</dcterms:created>
  <dc:creator>邹吉义Antwan</dc:creator>
  <cp:lastModifiedBy>灰灰</cp:lastModifiedBy>
  <dcterms:modified xsi:type="dcterms:W3CDTF">2024-07-12T11:52:35Z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409E05970F83459BB6A510F7BE4883E0_11</vt:lpwstr>
  </property>
</Properties>
</file>